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07ACE" w14:textId="0E191DBE" w:rsidR="0042701C" w:rsidRDefault="0042701C" w:rsidP="0042701C">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r w:rsidRPr="00096E86">
        <w:rPr>
          <w:rFonts w:ascii="Arial" w:hAnsi="Arial" w:cs="Arial"/>
          <w:b/>
          <w:sz w:val="24"/>
          <w:szCs w:val="28"/>
          <w:lang w:val="en-US"/>
        </w:rPr>
        <w:t>R4-22</w:t>
      </w:r>
      <w:r>
        <w:rPr>
          <w:rFonts w:ascii="Arial" w:hAnsi="Arial" w:cs="Arial"/>
          <w:b/>
          <w:sz w:val="24"/>
          <w:szCs w:val="28"/>
          <w:lang w:val="en-US"/>
        </w:rPr>
        <w:t>1878</w:t>
      </w:r>
      <w:r w:rsidR="00DB6E10">
        <w:rPr>
          <w:rFonts w:ascii="Arial" w:hAnsi="Arial" w:cs="Arial"/>
          <w:b/>
          <w:sz w:val="24"/>
          <w:szCs w:val="28"/>
          <w:lang w:val="en-US"/>
        </w:rPr>
        <w:t>7</w:t>
      </w:r>
    </w:p>
    <w:p w14:paraId="2CF3F40C" w14:textId="77777777" w:rsidR="0042701C" w:rsidRPr="001D2FBF" w:rsidRDefault="0042701C" w:rsidP="0042701C">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bookmarkEnd w:id="1"/>
    <w:p w14:paraId="367FCFEA" w14:textId="531FD3CB"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2701C">
        <w:rPr>
          <w:rFonts w:ascii="Arial" w:hAnsi="Arial" w:cs="Arial"/>
          <w:color w:val="000000"/>
          <w:sz w:val="22"/>
        </w:rPr>
        <w:t>10</w:t>
      </w:r>
      <w:r>
        <w:rPr>
          <w:rFonts w:ascii="Arial" w:hAnsi="Arial" w:cs="Arial" w:hint="eastAsia"/>
          <w:color w:val="000000"/>
          <w:sz w:val="22"/>
        </w:rPr>
        <w:t>.</w:t>
      </w:r>
      <w:r w:rsidR="0042701C">
        <w:rPr>
          <w:rFonts w:ascii="Arial" w:hAnsi="Arial" w:cs="Arial"/>
          <w:color w:val="000000"/>
          <w:sz w:val="22"/>
        </w:rPr>
        <w:t>2</w:t>
      </w:r>
      <w:r>
        <w:rPr>
          <w:rFonts w:ascii="Arial" w:hAnsi="Arial" w:cs="Arial" w:hint="eastAsia"/>
          <w:color w:val="000000"/>
          <w:sz w:val="22"/>
        </w:rPr>
        <w:t>.</w:t>
      </w:r>
      <w:r w:rsidR="0042701C">
        <w:rPr>
          <w:rFonts w:ascii="Arial" w:hAnsi="Arial" w:cs="Arial"/>
          <w:color w:val="000000"/>
          <w:sz w:val="22"/>
        </w:rPr>
        <w:t>1.</w:t>
      </w:r>
      <w:r w:rsidR="00DB6E10">
        <w:rPr>
          <w:rFonts w:ascii="Arial" w:hAnsi="Arial" w:cs="Arial"/>
          <w:color w:val="000000"/>
          <w:sz w:val="22"/>
        </w:rPr>
        <w:t>2</w:t>
      </w:r>
    </w:p>
    <w:p w14:paraId="60581EBF" w14:textId="77777777"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1DF96AD4"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B6E10" w:rsidRPr="00DB6E10">
        <w:rPr>
          <w:rFonts w:ascii="Arial" w:hAnsi="Arial" w:cs="Arial"/>
          <w:color w:val="000000"/>
          <w:sz w:val="22"/>
          <w:lang w:val="en-US"/>
        </w:rPr>
        <w:t>Draft Reply LS on UE capability for PRS measurement without MG</w:t>
      </w:r>
    </w:p>
    <w:p w14:paraId="364127F1" w14:textId="77777777"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4DBBECB5" w14:textId="77777777" w:rsidR="00CE5D0B" w:rsidRPr="001D2FBF" w:rsidRDefault="00CE5D0B" w:rsidP="005E50CE">
      <w:pPr>
        <w:pStyle w:val="a3"/>
        <w:keepNext/>
        <w:keepLines/>
        <w:numPr>
          <w:ilvl w:val="0"/>
          <w:numId w:val="24"/>
        </w:numPr>
        <w:pBdr>
          <w:top w:val="single" w:sz="12" w:space="3" w:color="auto"/>
        </w:pBdr>
        <w:spacing w:before="240" w:after="100" w:afterAutospacing="1"/>
        <w:ind w:left="357" w:hanging="357"/>
        <w:contextualSpacing/>
        <w:outlineLvl w:val="0"/>
        <w:rPr>
          <w:sz w:val="36"/>
          <w:szCs w:val="36"/>
        </w:rPr>
      </w:pPr>
      <w:bookmarkStart w:id="3" w:name="OLE_LINK13"/>
      <w:bookmarkStart w:id="4" w:name="OLE_LINK14"/>
      <w:r w:rsidRPr="001D2FBF">
        <w:rPr>
          <w:sz w:val="36"/>
          <w:szCs w:val="36"/>
        </w:rPr>
        <w:t>Introduction</w:t>
      </w:r>
    </w:p>
    <w:p w14:paraId="57DE94B6" w14:textId="18053DD5" w:rsidR="00DB6E10" w:rsidRPr="00DB6E10" w:rsidRDefault="00DB6E10" w:rsidP="00DB6E10">
      <w:pPr>
        <w:rPr>
          <w:rFonts w:eastAsiaTheme="minorEastAsia"/>
        </w:rPr>
      </w:pPr>
      <w:r w:rsidRPr="00DB6E10">
        <w:rPr>
          <w:rFonts w:eastAsiaTheme="minorEastAsia"/>
        </w:rPr>
        <w:t xml:space="preserve">In the LS from RAN2[1], </w:t>
      </w:r>
      <w:r w:rsidR="00CC22F1">
        <w:rPr>
          <w:rFonts w:eastAsiaTheme="minorEastAsia"/>
        </w:rPr>
        <w:t xml:space="preserve">RAN2 </w:t>
      </w:r>
      <w:r w:rsidR="00CC22F1" w:rsidRPr="00CC22F1">
        <w:rPr>
          <w:rFonts w:eastAsiaTheme="minorEastAsia"/>
        </w:rPr>
        <w:t>ask</w:t>
      </w:r>
      <w:r w:rsidR="00CC22F1">
        <w:rPr>
          <w:rFonts w:eastAsiaTheme="minorEastAsia"/>
        </w:rPr>
        <w:t>s</w:t>
      </w:r>
      <w:r w:rsidR="00CC22F1" w:rsidRPr="00CC22F1">
        <w:rPr>
          <w:rFonts w:eastAsiaTheme="minorEastAsia"/>
        </w:rPr>
        <w:t xml:space="preserve"> RAN4 to clarify whether the LMF also needs to know the UE capability on feature 14-3</w:t>
      </w:r>
      <w:r w:rsidRPr="00DB6E10">
        <w:rPr>
          <w:rFonts w:eastAsiaTheme="minorEastAsia"/>
        </w:rPr>
        <w:t>.</w:t>
      </w:r>
    </w:p>
    <w:tbl>
      <w:tblPr>
        <w:tblStyle w:val="afff5"/>
        <w:tblW w:w="0" w:type="auto"/>
        <w:tblInd w:w="0" w:type="dxa"/>
        <w:tblLook w:val="04A0" w:firstRow="1" w:lastRow="0" w:firstColumn="1" w:lastColumn="0" w:noHBand="0" w:noVBand="1"/>
      </w:tblPr>
      <w:tblGrid>
        <w:gridCol w:w="9630"/>
      </w:tblGrid>
      <w:tr w:rsidR="00DB6E10" w:rsidRPr="00DB6E10" w14:paraId="2EEB4529" w14:textId="77777777" w:rsidTr="00DB70F9">
        <w:tc>
          <w:tcPr>
            <w:tcW w:w="9631" w:type="dxa"/>
          </w:tcPr>
          <w:p w14:paraId="10FBE562" w14:textId="77777777" w:rsidR="00DB6E10" w:rsidRPr="00DB6E10" w:rsidRDefault="00DB6E10" w:rsidP="00DB6E10">
            <w:pPr>
              <w:textAlignment w:val="auto"/>
              <w:rPr>
                <w:rFonts w:ascii="Times New Roman" w:eastAsiaTheme="minorEastAsia" w:hAnsi="Times New Roman"/>
                <w:lang w:eastAsia="zh-CN"/>
              </w:rPr>
            </w:pPr>
            <w:r w:rsidRPr="00DB6E10">
              <w:rPr>
                <w:rFonts w:ascii="Times New Roman" w:eastAsiaTheme="minorEastAsia" w:hAnsi="Times New Roman"/>
                <w:lang w:eastAsia="zh-CN"/>
              </w:rPr>
              <w:t>In RAN4 feature lists, the feature 14-3 “PRS measurement without MG” is only indicated as “Need for the gNB to know”. It is unclear whether there is also a need for the LMF to know about UE support for feature 14-3, i.e. should this capability also be captured in LPP specification or not. Some companies in RAN2 think this capability can be used for the LMF to determine which TRPs should be included in the PRS configuration. Besides, RAN2 has already captured its prerequisite feature 27-3-2 “DL PRS measurement outside MG and in a PRS processing window” in the UE capability of LPP.</w:t>
            </w:r>
          </w:p>
          <w:p w14:paraId="2A9B9D38" w14:textId="77777777" w:rsidR="00DB6E10" w:rsidRPr="00DB6E10" w:rsidRDefault="00DB6E10" w:rsidP="00DB6E10">
            <w:pPr>
              <w:textAlignment w:val="auto"/>
              <w:rPr>
                <w:rFonts w:ascii="Times New Roman" w:eastAsiaTheme="minorEastAsia" w:hAnsi="Times New Roman"/>
                <w:lang w:eastAsia="zh-CN"/>
              </w:rPr>
            </w:pPr>
            <w:r w:rsidRPr="00DB6E10">
              <w:rPr>
                <w:rFonts w:ascii="Times New Roman" w:eastAsiaTheme="minorEastAsia" w:hAnsi="Times New Roman"/>
                <w:lang w:eastAsia="zh-CN"/>
              </w:rPr>
              <w:t>Therefore RAN2 would like to ask RAN4 to clarify whether the LMF also needs to know the UE capability on feature 14-3.</w:t>
            </w:r>
          </w:p>
        </w:tc>
      </w:tr>
    </w:tbl>
    <w:p w14:paraId="12C90B3E" w14:textId="77777777" w:rsidR="00DB6E10" w:rsidRPr="00DB6E10" w:rsidRDefault="00DB6E10" w:rsidP="00DB6E10">
      <w:pPr>
        <w:jc w:val="both"/>
        <w:rPr>
          <w:rFonts w:eastAsiaTheme="minorEastAsia"/>
        </w:rPr>
      </w:pPr>
    </w:p>
    <w:p w14:paraId="44F970C4" w14:textId="79AC5CED" w:rsidR="00CE5D0B" w:rsidRPr="00DB6E10" w:rsidRDefault="00CC22F1" w:rsidP="00DB6E10">
      <w:pPr>
        <w:spacing w:before="120" w:after="0"/>
        <w:rPr>
          <w:sz w:val="22"/>
          <w:szCs w:val="22"/>
          <w:lang w:val="en-US"/>
        </w:rPr>
      </w:pPr>
      <w:r>
        <w:rPr>
          <w:rFonts w:eastAsiaTheme="minorEastAsia"/>
        </w:rPr>
        <w:t>In this contribution</w:t>
      </w:r>
      <w:r w:rsidR="00DB6E10" w:rsidRPr="00DB6E10">
        <w:rPr>
          <w:rFonts w:eastAsiaTheme="minorEastAsia"/>
        </w:rPr>
        <w:t>, we provide our views on</w:t>
      </w:r>
      <w:r w:rsidR="00DB6E10" w:rsidRPr="00DB6E10">
        <w:t xml:space="preserve"> </w:t>
      </w:r>
      <w:r w:rsidR="00DB6E10" w:rsidRPr="00DB6E10">
        <w:rPr>
          <w:rFonts w:eastAsiaTheme="minorEastAsia"/>
        </w:rPr>
        <w:t>capability for PRS measurement without MG</w:t>
      </w:r>
      <w:r w:rsidR="00E77D64" w:rsidRPr="00DB6E10">
        <w:rPr>
          <w:sz w:val="22"/>
          <w:szCs w:val="22"/>
          <w:lang w:val="en-US"/>
        </w:rPr>
        <w:t>.</w:t>
      </w:r>
    </w:p>
    <w:p w14:paraId="3067E273" w14:textId="77777777" w:rsidR="00CE5D0B" w:rsidRPr="001D2FBF" w:rsidRDefault="00CE5D0B">
      <w:pPr>
        <w:pStyle w:val="1"/>
        <w:numPr>
          <w:ilvl w:val="0"/>
          <w:numId w:val="24"/>
        </w:numPr>
        <w:tabs>
          <w:tab w:val="num" w:pos="432"/>
        </w:tabs>
        <w:spacing w:before="360" w:after="0"/>
        <w:ind w:left="357" w:hanging="357"/>
      </w:pPr>
      <w:r>
        <w:t>Discussion</w:t>
      </w:r>
    </w:p>
    <w:p w14:paraId="124DC043" w14:textId="4CD7B66F" w:rsidR="002168A4" w:rsidRPr="00CC22F1" w:rsidRDefault="00DB6E10" w:rsidP="00CC22F1">
      <w:pPr>
        <w:spacing w:before="120" w:after="0"/>
        <w:jc w:val="both"/>
        <w:rPr>
          <w:rFonts w:eastAsiaTheme="minorEastAsia"/>
        </w:rPr>
      </w:pPr>
      <w:r w:rsidRPr="00CC22F1">
        <w:rPr>
          <w:rFonts w:eastAsiaTheme="minorEastAsia"/>
        </w:rPr>
        <w:t>RAN4 has discussed the threshold applied to the Rx timing difference between the serving cell PRS and PRS from a non-serving cell/TRP to determine the applicability of PRS measurements outside MG and</w:t>
      </w:r>
      <w:r w:rsidRPr="00CC22F1">
        <w:rPr>
          <w:rFonts w:eastAsiaTheme="minorEastAsia" w:hint="eastAsia"/>
        </w:rPr>
        <w:t xml:space="preserve"> </w:t>
      </w:r>
      <w:r w:rsidRPr="00CC22F1">
        <w:rPr>
          <w:rFonts w:eastAsiaTheme="minorEastAsia"/>
        </w:rPr>
        <w:t>has introduced the UE capability to accommodate different UE implementations of PRS measurements outside MG. The threshold corresponds to the maximum Rx timing difference that the UE supports for PRS measurement outside MG. The condition for PRS measurement outside the MG is provided by RAN4 LS R2-2206945[2].</w:t>
      </w:r>
    </w:p>
    <w:tbl>
      <w:tblPr>
        <w:tblStyle w:val="afff5"/>
        <w:tblW w:w="0" w:type="auto"/>
        <w:tblInd w:w="0" w:type="dxa"/>
        <w:tblLook w:val="04A0" w:firstRow="1" w:lastRow="0" w:firstColumn="1" w:lastColumn="0" w:noHBand="0" w:noVBand="1"/>
      </w:tblPr>
      <w:tblGrid>
        <w:gridCol w:w="9630"/>
      </w:tblGrid>
      <w:tr w:rsidR="00DB6E10" w:rsidRPr="00DB6E10" w14:paraId="38F3FF0E" w14:textId="77777777" w:rsidTr="00DB6E10">
        <w:tc>
          <w:tcPr>
            <w:tcW w:w="9630" w:type="dxa"/>
          </w:tcPr>
          <w:p w14:paraId="73EFB9E1" w14:textId="77777777" w:rsidR="00DB6E10" w:rsidRPr="00DB6E10" w:rsidRDefault="00DB6E10" w:rsidP="00DB6E10">
            <w:pPr>
              <w:numPr>
                <w:ilvl w:val="0"/>
                <w:numId w:val="34"/>
              </w:numPr>
              <w:suppressAutoHyphens w:val="0"/>
              <w:overflowPunct/>
              <w:autoSpaceDE/>
              <w:spacing w:beforeLines="50" w:afterLines="50" w:after="120"/>
              <w:ind w:left="360"/>
              <w:textAlignment w:val="auto"/>
              <w:rPr>
                <w:rFonts w:ascii="Times New Roman" w:hAnsi="Times New Roman"/>
                <w:lang w:val="en-US" w:eastAsia="zh-CN"/>
              </w:rPr>
            </w:pPr>
            <w:r w:rsidRPr="00DB6E10">
              <w:rPr>
                <w:rFonts w:ascii="Times New Roman" w:hAnsi="Times New Roman"/>
                <w:lang w:val="en-US" w:eastAsia="zh-CN"/>
              </w:rPr>
              <w:t xml:space="preserve">The applicability condition on Rx timing difference between the serving cell and a neighbor cell/TRP for PRS measurements within a PPW is </w:t>
            </w:r>
            <m:oMath>
              <m:r>
                <m:rPr>
                  <m:nor/>
                </m:rPr>
                <w:rPr>
                  <w:rFonts w:ascii="Times New Roman" w:hAnsi="Times New Roman"/>
                  <w:szCs w:val="22"/>
                  <w:lang w:eastAsia="zh-CN"/>
                </w:rPr>
                <m:t xml:space="preserve">max </m:t>
              </m:r>
              <m:d>
                <m:dPr>
                  <m:begChr m:val="|"/>
                  <m:endChr m:val="|"/>
                  <m:ctrlPr>
                    <w:rPr>
                      <w:rFonts w:ascii="Cambria Math" w:eastAsiaTheme="minorEastAsia" w:hAnsi="Cambria Math"/>
                      <w:i/>
                      <w:szCs w:val="22"/>
                    </w:rPr>
                  </m:ctrlPr>
                </m:dPr>
                <m:e>
                  <m:r>
                    <w:rPr>
                      <w:rFonts w:ascii="Cambria Math" w:hAnsi="Cambria Math"/>
                      <w:szCs w:val="22"/>
                      <w:lang w:eastAsia="zh-CN"/>
                    </w:rPr>
                    <m:t>∆T</m:t>
                  </m:r>
                </m:e>
              </m:d>
              <m:r>
                <w:rPr>
                  <w:rFonts w:ascii="Cambria Math" w:hAnsi="Cambria Math"/>
                  <w:lang w:val="en-US" w:eastAsia="zh-CN"/>
                </w:rPr>
                <m:t>≤THR</m:t>
              </m:r>
            </m:oMath>
            <w:r w:rsidRPr="00DB6E10">
              <w:rPr>
                <w:rFonts w:ascii="Times New Roman" w:hAnsi="Times New Roman"/>
                <w:lang w:val="en-US" w:eastAsia="zh-CN"/>
              </w:rPr>
              <w:t>, where</w:t>
            </w:r>
          </w:p>
          <w:p w14:paraId="4EBAD424" w14:textId="77777777" w:rsidR="00DB6E10" w:rsidRPr="00DB6E10" w:rsidRDefault="00DB6E10" w:rsidP="00DB6E10">
            <w:pPr>
              <w:numPr>
                <w:ilvl w:val="1"/>
                <w:numId w:val="34"/>
              </w:numPr>
              <w:suppressAutoHyphens w:val="0"/>
              <w:overflowPunct/>
              <w:autoSpaceDE/>
              <w:spacing w:beforeLines="50" w:afterLines="50" w:after="120"/>
              <w:ind w:left="1080"/>
              <w:textAlignment w:val="auto"/>
              <w:rPr>
                <w:rFonts w:ascii="Times New Roman" w:hAnsi="Times New Roman"/>
                <w:lang w:val="en-US" w:eastAsia="zh-CN"/>
              </w:rPr>
            </w:pPr>
            <m:oMath>
              <m:r>
                <w:rPr>
                  <w:rFonts w:ascii="Cambria Math" w:hAnsi="Cambria Math"/>
                  <w:lang w:val="en-US" w:eastAsia="zh-CN"/>
                </w:rPr>
                <m:t>∆</m:t>
              </m:r>
              <m:r>
                <w:rPr>
                  <w:rFonts w:ascii="Cambria Math" w:hAnsi="Cambria Math"/>
                  <w:lang w:val="sv-SE" w:eastAsia="zh-CN"/>
                </w:rPr>
                <m:t>T</m:t>
              </m:r>
            </m:oMath>
            <w:r w:rsidRPr="00DB6E10">
              <w:rPr>
                <w:rFonts w:ascii="Times New Roman" w:hAnsi="Times New Roman"/>
                <w:lang w:val="en-US" w:eastAsia="zh-CN"/>
              </w:rPr>
              <w:t xml:space="preserve"> is the time difference between the start of a slot containing PRS from the neighbor cell/TRP and the start of the closest slot from the serving cell, and</w:t>
            </w:r>
          </w:p>
          <w:p w14:paraId="70693607" w14:textId="77777777" w:rsidR="00DB6E10" w:rsidRPr="00DB6E10" w:rsidRDefault="00DB6E10" w:rsidP="00DB6E10">
            <w:pPr>
              <w:numPr>
                <w:ilvl w:val="1"/>
                <w:numId w:val="34"/>
              </w:numPr>
              <w:suppressAutoHyphens w:val="0"/>
              <w:overflowPunct/>
              <w:autoSpaceDE/>
              <w:spacing w:beforeLines="50" w:afterLines="50" w:after="120"/>
              <w:ind w:left="1080"/>
              <w:textAlignment w:val="auto"/>
              <w:rPr>
                <w:rFonts w:ascii="Times New Roman" w:hAnsi="Times New Roman"/>
                <w:lang w:val="en-US" w:eastAsia="zh-CN"/>
              </w:rPr>
            </w:pPr>
            <w:r w:rsidRPr="00DB6E10">
              <w:rPr>
                <w:rFonts w:ascii="Times New Roman" w:hAnsi="Times New Roman"/>
                <w:szCs w:val="22"/>
                <w:lang w:eastAsia="zh-CN"/>
              </w:rPr>
              <w:t>the range of</w:t>
            </w:r>
            <w:r w:rsidRPr="00DB6E10">
              <w:rPr>
                <w:rFonts w:ascii="Times New Roman" w:hAnsi="Times New Roman"/>
                <w:lang w:val="en-US" w:eastAsia="zh-CN"/>
              </w:rPr>
              <w:t xml:space="preserve"> </w:t>
            </w:r>
            <m:oMath>
              <m:r>
                <w:rPr>
                  <w:rFonts w:ascii="Cambria Math" w:hAnsi="Cambria Math"/>
                  <w:lang w:val="en-US" w:eastAsia="zh-CN"/>
                </w:rPr>
                <m:t>∆T</m:t>
              </m:r>
            </m:oMath>
            <w:r w:rsidRPr="00DB6E10">
              <w:rPr>
                <w:rFonts w:ascii="Times New Roman" w:eastAsia="等线" w:hAnsi="Times New Roman"/>
                <w:lang w:val="en-US" w:eastAsia="zh-CN"/>
              </w:rPr>
              <w:t xml:space="preserve"> is determined by the expected RSTD and expected RSTD uncertainty in the assistance data. </w:t>
            </w:r>
          </w:p>
          <w:p w14:paraId="0F4A994A" w14:textId="77777777" w:rsidR="00DB6E10" w:rsidRPr="00DB6E10" w:rsidRDefault="00DB6E10" w:rsidP="00DB6E10">
            <w:pPr>
              <w:numPr>
                <w:ilvl w:val="1"/>
                <w:numId w:val="34"/>
              </w:numPr>
              <w:suppressAutoHyphens w:val="0"/>
              <w:overflowPunct/>
              <w:autoSpaceDE/>
              <w:spacing w:beforeLines="50" w:afterLines="50" w:after="120"/>
              <w:ind w:left="1080"/>
              <w:textAlignment w:val="auto"/>
              <w:rPr>
                <w:rFonts w:ascii="Times New Roman" w:hAnsi="Times New Roman"/>
                <w:lang w:val="en-US" w:eastAsia="zh-CN"/>
              </w:rPr>
            </w:pPr>
            <m:oMath>
              <m:r>
                <w:rPr>
                  <w:rFonts w:ascii="Cambria Math" w:hAnsi="Cambria Math"/>
                  <w:lang w:val="sv-SE" w:eastAsia="zh-CN"/>
                </w:rPr>
                <m:t>THR</m:t>
              </m:r>
            </m:oMath>
            <w:r w:rsidRPr="00DB6E10">
              <w:rPr>
                <w:rFonts w:ascii="Times New Roman" w:hAnsi="Times New Roman"/>
                <w:lang w:val="en-US" w:eastAsia="zh-CN"/>
              </w:rPr>
              <w:t xml:space="preserve"> is the threshold, which is up to UE capability (as already informed in R4-2206981)</w:t>
            </w:r>
          </w:p>
          <w:p w14:paraId="3BE77158" w14:textId="77777777" w:rsidR="00DB6E10" w:rsidRPr="00DB6E10" w:rsidRDefault="00DB6E10" w:rsidP="00DB6E10">
            <w:pPr>
              <w:pStyle w:val="a3"/>
              <w:numPr>
                <w:ilvl w:val="0"/>
                <w:numId w:val="36"/>
              </w:numPr>
              <w:spacing w:after="180"/>
              <w:contextualSpacing/>
              <w:rPr>
                <w:rFonts w:ascii="Times New Roman" w:eastAsiaTheme="minorEastAsia" w:hAnsi="Times New Roman"/>
                <w:lang w:eastAsia="zh-CN"/>
              </w:rPr>
            </w:pPr>
            <w:r w:rsidRPr="00DB6E10">
              <w:rPr>
                <w:rFonts w:ascii="Times New Roman" w:hAnsi="Times New Roman"/>
                <w:lang w:eastAsia="zh-CN"/>
              </w:rPr>
              <w:t xml:space="preserve">The candidate values for </w:t>
            </w:r>
            <m:oMath>
              <m:r>
                <w:rPr>
                  <w:rFonts w:ascii="Cambria Math" w:hAnsi="Cambria Math"/>
                  <w:lang w:eastAsia="zh-CN"/>
                </w:rPr>
                <m:t>THR</m:t>
              </m:r>
            </m:oMath>
            <w:r w:rsidRPr="00DB6E10">
              <w:rPr>
                <w:rFonts w:ascii="Times New Roman" w:hAnsi="Times New Roman"/>
                <w:lang w:eastAsia="zh-CN"/>
              </w:rPr>
              <w:t xml:space="preserve"> include {CP length, </w:t>
            </w:r>
            <w:r w:rsidRPr="00DB6E10">
              <w:rPr>
                <w:rFonts w:ascii="Times New Roman" w:hAnsi="Times New Roman"/>
                <w:szCs w:val="22"/>
                <w:lang w:eastAsia="zh-CN"/>
              </w:rPr>
              <w:t>¼ symbol length, ½ symbol length</w:t>
            </w:r>
            <w:r w:rsidRPr="00DB6E10">
              <w:rPr>
                <w:rFonts w:ascii="Times New Roman" w:hAnsi="Times New Roman"/>
                <w:lang w:eastAsia="zh-CN"/>
              </w:rPr>
              <w:t xml:space="preserve">, </w:t>
            </w:r>
            <w:r w:rsidRPr="00DB6E10">
              <w:rPr>
                <w:rFonts w:ascii="Times New Roman" w:hAnsi="Times New Roman"/>
                <w:szCs w:val="22"/>
                <w:lang w:eastAsia="zh-CN"/>
              </w:rPr>
              <w:t>½ slot length</w:t>
            </w:r>
            <w:r w:rsidRPr="00DB6E10">
              <w:rPr>
                <w:rFonts w:ascii="Times New Roman" w:hAnsi="Times New Roman"/>
                <w:lang w:eastAsia="zh-CN"/>
              </w:rPr>
              <w:t>}</w:t>
            </w:r>
          </w:p>
        </w:tc>
      </w:tr>
    </w:tbl>
    <w:p w14:paraId="17124E65" w14:textId="77777777" w:rsidR="00DB6E10" w:rsidRDefault="00DB6E10" w:rsidP="00DB6E10">
      <w:pPr>
        <w:overflowPunct/>
        <w:autoSpaceDE/>
        <w:jc w:val="both"/>
        <w:textAlignment w:val="auto"/>
        <w:rPr>
          <w:rFonts w:eastAsiaTheme="minorEastAsia"/>
        </w:rPr>
      </w:pPr>
    </w:p>
    <w:p w14:paraId="5BFB843D" w14:textId="43FE6844" w:rsidR="00071640" w:rsidRDefault="00DB6E10" w:rsidP="00DB6E10">
      <w:pPr>
        <w:overflowPunct/>
        <w:autoSpaceDE/>
        <w:jc w:val="both"/>
        <w:textAlignment w:val="auto"/>
        <w:rPr>
          <w:rFonts w:eastAsiaTheme="minorEastAsia"/>
        </w:rPr>
      </w:pPr>
      <w:r w:rsidRPr="00EF3ACD">
        <w:rPr>
          <w:rFonts w:eastAsiaTheme="minorEastAsia"/>
        </w:rPr>
        <w:t xml:space="preserve">The RAN4 feature 14-3 “PRS measurement without MG” is the </w:t>
      </w:r>
      <w:r>
        <w:rPr>
          <w:rFonts w:eastAsiaTheme="minorEastAsia"/>
        </w:rPr>
        <w:t>UE c</w:t>
      </w:r>
      <w:r w:rsidRPr="00A1140E">
        <w:rPr>
          <w:rFonts w:eastAsiaTheme="minorEastAsia"/>
        </w:rPr>
        <w:t>apability for the threshold used to be compared against with the Rx timing difference to determine whether the PRS from the non-serving cell satisfy the condition of PRS measurement outside MG</w:t>
      </w:r>
      <w:r w:rsidRPr="00EF3ACD">
        <w:rPr>
          <w:rFonts w:eastAsiaTheme="minorEastAsia"/>
        </w:rPr>
        <w:t>.</w:t>
      </w:r>
      <w:r>
        <w:rPr>
          <w:rFonts w:eastAsiaTheme="minorEastAsia"/>
        </w:rPr>
        <w:t xml:space="preserve"> </w:t>
      </w:r>
      <w:r w:rsidR="00071640" w:rsidRPr="00071640">
        <w:rPr>
          <w:rFonts w:eastAsiaTheme="minorEastAsia"/>
        </w:rPr>
        <w:t>The UE is not required to determine whether the threshold condition is satisfied by performing measurements.</w:t>
      </w:r>
      <w:r w:rsidR="00071640">
        <w:rPr>
          <w:rFonts w:eastAsiaTheme="minorEastAsia"/>
        </w:rPr>
        <w:t xml:space="preserve"> T</w:t>
      </w:r>
      <w:r w:rsidR="00071640" w:rsidRPr="00071640">
        <w:rPr>
          <w:rFonts w:eastAsiaTheme="minorEastAsia"/>
        </w:rPr>
        <w:t>he expected Rx timing difference between the PRS from the non-serving cell/TRP and that from the serving cell is determined by the expected RSTD and expected RSTD uncertainty in the assistance data</w:t>
      </w:r>
      <w:r w:rsidR="00071640">
        <w:rPr>
          <w:rFonts w:eastAsiaTheme="minorEastAsia"/>
        </w:rPr>
        <w:t>.</w:t>
      </w:r>
      <w:r w:rsidR="00071640" w:rsidRPr="00071640">
        <w:rPr>
          <w:rFonts w:eastAsiaTheme="minorEastAsia"/>
        </w:rPr>
        <w:t xml:space="preserve"> </w:t>
      </w:r>
    </w:p>
    <w:p w14:paraId="0D90FF22" w14:textId="127FBEA9" w:rsidR="00071640" w:rsidRDefault="00DB6E10" w:rsidP="00DB6E10">
      <w:pPr>
        <w:overflowPunct/>
        <w:autoSpaceDE/>
        <w:jc w:val="both"/>
        <w:textAlignment w:val="auto"/>
        <w:rPr>
          <w:rFonts w:eastAsiaTheme="minorEastAsia"/>
        </w:rPr>
      </w:pPr>
      <w:r w:rsidRPr="004F4FE8">
        <w:rPr>
          <w:rFonts w:eastAsiaTheme="minorEastAsia"/>
        </w:rPr>
        <w:lastRenderedPageBreak/>
        <w:t xml:space="preserve">The UE </w:t>
      </w:r>
      <w:r w:rsidR="00071640">
        <w:rPr>
          <w:rFonts w:eastAsiaTheme="minorEastAsia"/>
        </w:rPr>
        <w:t xml:space="preserve">is only required to measure TRPs when Rx timing difference is within the threshold. </w:t>
      </w:r>
      <w:r w:rsidR="004668E4">
        <w:rPr>
          <w:rFonts w:eastAsiaTheme="minorEastAsia"/>
        </w:rPr>
        <w:t xml:space="preserve">We agree the analysis </w:t>
      </w:r>
      <w:r w:rsidR="004668E4" w:rsidRPr="004668E4">
        <w:rPr>
          <w:rFonts w:eastAsiaTheme="minorEastAsia"/>
        </w:rPr>
        <w:t xml:space="preserve">in RAN2 </w:t>
      </w:r>
      <w:r w:rsidR="004668E4">
        <w:rPr>
          <w:rFonts w:eastAsiaTheme="minorEastAsia"/>
        </w:rPr>
        <w:t>that</w:t>
      </w:r>
      <w:r w:rsidR="004668E4" w:rsidRPr="004668E4">
        <w:rPr>
          <w:rFonts w:eastAsiaTheme="minorEastAsia"/>
        </w:rPr>
        <w:t xml:space="preserve"> this capability can be used for the LMF to determine which TRPs should be included in the PRS configuration</w:t>
      </w:r>
      <w:r w:rsidR="004668E4">
        <w:rPr>
          <w:rFonts w:eastAsiaTheme="minorEastAsia"/>
        </w:rPr>
        <w:t xml:space="preserve">. Since the PRS measurement could be configured in the order of priority, LMF is able to configure the UE with PRS configuration for </w:t>
      </w:r>
      <w:r w:rsidR="00EC1F81">
        <w:rPr>
          <w:rFonts w:eastAsiaTheme="minorEastAsia"/>
        </w:rPr>
        <w:t xml:space="preserve">appropriate </w:t>
      </w:r>
      <w:r w:rsidR="004668E4">
        <w:rPr>
          <w:rFonts w:eastAsiaTheme="minorEastAsia"/>
        </w:rPr>
        <w:t>TRPs</w:t>
      </w:r>
      <w:r w:rsidR="00EC1F81" w:rsidRPr="00EC1F81">
        <w:rPr>
          <w:rFonts w:eastAsiaTheme="minorEastAsia"/>
        </w:rPr>
        <w:t xml:space="preserve"> </w:t>
      </w:r>
      <w:r w:rsidR="00EC1F81">
        <w:rPr>
          <w:rFonts w:eastAsiaTheme="minorEastAsia"/>
        </w:rPr>
        <w:t>with high priority</w:t>
      </w:r>
      <w:r w:rsidR="004668E4">
        <w:rPr>
          <w:rFonts w:eastAsiaTheme="minorEastAsia"/>
        </w:rPr>
        <w:t xml:space="preserve"> </w:t>
      </w:r>
      <w:r w:rsidR="00EC1F81">
        <w:rPr>
          <w:rFonts w:eastAsiaTheme="minorEastAsia"/>
        </w:rPr>
        <w:t>which</w:t>
      </w:r>
      <w:r w:rsidR="004668E4">
        <w:rPr>
          <w:rFonts w:eastAsiaTheme="minorEastAsia"/>
        </w:rPr>
        <w:t xml:space="preserve"> Rx timing difference is within the threshold provided that the UE capability of threshold is known to LMF. </w:t>
      </w:r>
      <w:r w:rsidR="00EC1F81">
        <w:rPr>
          <w:rFonts w:eastAsiaTheme="minorEastAsia"/>
        </w:rPr>
        <w:t xml:space="preserve">Therefore, </w:t>
      </w:r>
      <w:r w:rsidR="00EC1F81" w:rsidRPr="00EC1F81">
        <w:rPr>
          <w:rFonts w:eastAsiaTheme="minorEastAsia"/>
        </w:rPr>
        <w:t>LMF needs to know the UE capability on feature 14-3</w:t>
      </w:r>
      <w:r w:rsidR="00EC1F81">
        <w:rPr>
          <w:rFonts w:eastAsiaTheme="minorEastAsia"/>
        </w:rPr>
        <w:t>.</w:t>
      </w:r>
    </w:p>
    <w:p w14:paraId="364F6788" w14:textId="77777777" w:rsidR="00DB6E10" w:rsidRPr="00DE0C8D" w:rsidRDefault="00DB6E10" w:rsidP="00DB6E10">
      <w:pPr>
        <w:overflowPunct/>
        <w:autoSpaceDE/>
        <w:jc w:val="both"/>
        <w:textAlignment w:val="auto"/>
        <w:rPr>
          <w:rFonts w:eastAsiaTheme="minorEastAsia"/>
          <w:b/>
          <w:i/>
          <w:sz w:val="21"/>
          <w:szCs w:val="21"/>
        </w:rPr>
      </w:pPr>
      <w:r w:rsidRPr="00DE0C8D">
        <w:rPr>
          <w:rFonts w:hint="eastAsia"/>
          <w:b/>
          <w:i/>
          <w:sz w:val="21"/>
          <w:szCs w:val="21"/>
        </w:rPr>
        <w:t>P</w:t>
      </w:r>
      <w:r w:rsidRPr="00DE0C8D">
        <w:rPr>
          <w:b/>
          <w:i/>
          <w:sz w:val="21"/>
          <w:szCs w:val="21"/>
        </w:rPr>
        <w:t xml:space="preserve">roposal: </w:t>
      </w:r>
      <w:r w:rsidRPr="00DE0C8D">
        <w:rPr>
          <w:rFonts w:eastAsiaTheme="minorEastAsia"/>
          <w:b/>
          <w:i/>
          <w:sz w:val="21"/>
          <w:szCs w:val="21"/>
          <w:lang w:val="en-US"/>
        </w:rPr>
        <w:t>LMF needs to know the UE capability on feature 14-3 and the feature should be captured in LPP specification.</w:t>
      </w:r>
    </w:p>
    <w:p w14:paraId="0A7E9E70" w14:textId="77777777" w:rsidR="00DB6E10" w:rsidRPr="00DB6E10" w:rsidRDefault="00DB6E10" w:rsidP="002168A4">
      <w:pPr>
        <w:spacing w:before="240"/>
        <w:rPr>
          <w:rFonts w:ascii="Arial" w:hAnsi="Arial" w:cs="Arial"/>
          <w:sz w:val="22"/>
          <w:szCs w:val="22"/>
        </w:rPr>
      </w:pPr>
    </w:p>
    <w:p w14:paraId="46C5088F" w14:textId="77777777" w:rsidR="00CE5D0B" w:rsidRPr="001D2FBF" w:rsidRDefault="00CE5D0B">
      <w:pPr>
        <w:pStyle w:val="1"/>
        <w:numPr>
          <w:ilvl w:val="0"/>
          <w:numId w:val="24"/>
        </w:numPr>
        <w:tabs>
          <w:tab w:val="num" w:pos="432"/>
        </w:tabs>
        <w:spacing w:before="360" w:after="0"/>
        <w:ind w:left="357" w:hanging="357"/>
      </w:pPr>
      <w:r w:rsidRPr="001D2FBF">
        <w:t>Summary</w:t>
      </w:r>
    </w:p>
    <w:p w14:paraId="7510A1FB" w14:textId="30774145" w:rsidR="00DB6E10" w:rsidRPr="00DE0C8D" w:rsidRDefault="00DB6E10" w:rsidP="00DB6E10">
      <w:pPr>
        <w:spacing w:before="240" w:after="0"/>
        <w:jc w:val="both"/>
        <w:rPr>
          <w:sz w:val="21"/>
          <w:szCs w:val="21"/>
        </w:rPr>
      </w:pPr>
      <w:bookmarkStart w:id="5" w:name="_Hlk23953093"/>
      <w:r w:rsidRPr="00DE0C8D">
        <w:rPr>
          <w:sz w:val="21"/>
          <w:szCs w:val="21"/>
        </w:rPr>
        <w:t>Based on above analysis, following proposal</w:t>
      </w:r>
      <w:r w:rsidR="00DE0C8D">
        <w:rPr>
          <w:sz w:val="21"/>
          <w:szCs w:val="21"/>
        </w:rPr>
        <w:t xml:space="preserve"> is present</w:t>
      </w:r>
      <w:r w:rsidRPr="00DE0C8D">
        <w:rPr>
          <w:sz w:val="21"/>
          <w:szCs w:val="21"/>
        </w:rPr>
        <w:t>.</w:t>
      </w:r>
    </w:p>
    <w:p w14:paraId="62DAD9DD" w14:textId="4F1CE0B2" w:rsidR="00570081" w:rsidRPr="00DE0C8D" w:rsidRDefault="00DB6E10" w:rsidP="00570081">
      <w:pPr>
        <w:spacing w:before="240" w:after="0"/>
        <w:jc w:val="both"/>
        <w:rPr>
          <w:b/>
          <w:bCs/>
          <w:i/>
          <w:iCs/>
          <w:sz w:val="21"/>
          <w:szCs w:val="21"/>
        </w:rPr>
      </w:pPr>
      <w:r w:rsidRPr="00DE0C8D">
        <w:rPr>
          <w:b/>
          <w:i/>
          <w:sz w:val="21"/>
          <w:szCs w:val="21"/>
        </w:rPr>
        <w:t>Proposal: LMF needs to know the UE capability on feature 14-3 and the feature should be captured in LPP specification.</w:t>
      </w:r>
    </w:p>
    <w:p w14:paraId="74BF3396" w14:textId="184D0412" w:rsidR="005C5619" w:rsidRPr="00DE0C8D" w:rsidRDefault="005C5619" w:rsidP="005C5619">
      <w:pPr>
        <w:spacing w:before="240" w:after="0"/>
        <w:jc w:val="both"/>
        <w:rPr>
          <w:sz w:val="21"/>
          <w:szCs w:val="21"/>
        </w:rPr>
      </w:pPr>
      <w:r w:rsidRPr="00DE0C8D">
        <w:rPr>
          <w:sz w:val="21"/>
          <w:szCs w:val="21"/>
        </w:rPr>
        <w:t>A draft Reply LS is provided in Annex.</w:t>
      </w:r>
    </w:p>
    <w:p w14:paraId="5DA1DEE2" w14:textId="77777777" w:rsidR="005C5619" w:rsidRDefault="005C5619" w:rsidP="005C5619">
      <w:pPr>
        <w:spacing w:before="240" w:after="0"/>
        <w:jc w:val="both"/>
        <w:rPr>
          <w:sz w:val="22"/>
          <w:szCs w:val="22"/>
        </w:rPr>
      </w:pPr>
    </w:p>
    <w:bookmarkEnd w:id="5"/>
    <w:p w14:paraId="66FD8B8F" w14:textId="77777777" w:rsidR="00CE5D0B" w:rsidRPr="0064384A" w:rsidRDefault="00CE5D0B">
      <w:pPr>
        <w:pStyle w:val="a3"/>
        <w:keepNext/>
        <w:keepLines/>
        <w:numPr>
          <w:ilvl w:val="0"/>
          <w:numId w:val="24"/>
        </w:numPr>
        <w:pBdr>
          <w:top w:val="single" w:sz="12" w:space="3" w:color="auto"/>
        </w:pBdr>
        <w:spacing w:before="360" w:after="0"/>
        <w:ind w:left="357" w:hanging="357"/>
        <w:outlineLvl w:val="0"/>
        <w:rPr>
          <w:sz w:val="36"/>
          <w:szCs w:val="36"/>
        </w:rPr>
      </w:pPr>
      <w:r w:rsidRPr="001D2FBF">
        <w:rPr>
          <w:sz w:val="36"/>
        </w:rPr>
        <w:t>References</w:t>
      </w:r>
      <w:bookmarkEnd w:id="3"/>
      <w:bookmarkEnd w:id="4"/>
    </w:p>
    <w:bookmarkEnd w:id="2"/>
    <w:p w14:paraId="192CBAB8" w14:textId="4B8204D0" w:rsidR="00DB6E10" w:rsidRPr="00DB6E10" w:rsidRDefault="00DB6E10" w:rsidP="00DB6E10">
      <w:pPr>
        <w:spacing w:before="240" w:after="0"/>
        <w:jc w:val="both"/>
        <w:rPr>
          <w:szCs w:val="22"/>
          <w:lang w:val="en-US"/>
        </w:rPr>
      </w:pPr>
      <w:r w:rsidRPr="00DB6E10">
        <w:rPr>
          <w:szCs w:val="22"/>
          <w:lang w:val="en-US"/>
        </w:rPr>
        <w:t>[1] R</w:t>
      </w:r>
      <w:r w:rsidR="005E50CE">
        <w:rPr>
          <w:szCs w:val="22"/>
          <w:lang w:val="en-US"/>
        </w:rPr>
        <w:t>2</w:t>
      </w:r>
      <w:r w:rsidRPr="00DB6E10">
        <w:rPr>
          <w:szCs w:val="22"/>
          <w:lang w:val="en-US"/>
        </w:rPr>
        <w:t>-220</w:t>
      </w:r>
      <w:r w:rsidR="00765155">
        <w:rPr>
          <w:szCs w:val="22"/>
          <w:lang w:val="en-US"/>
        </w:rPr>
        <w:t>9241</w:t>
      </w:r>
      <w:r w:rsidRPr="00DB6E10">
        <w:rPr>
          <w:szCs w:val="22"/>
          <w:lang w:val="en-US"/>
        </w:rPr>
        <w:tab/>
      </w:r>
      <w:r w:rsidR="00765155" w:rsidRPr="00765155">
        <w:rPr>
          <w:szCs w:val="22"/>
          <w:lang w:val="en-US"/>
        </w:rPr>
        <w:t>LS to RAN4 on capability for PRS measurement without MG</w:t>
      </w:r>
      <w:r>
        <w:rPr>
          <w:szCs w:val="22"/>
          <w:lang w:val="en-US"/>
        </w:rPr>
        <w:t xml:space="preserve">         </w:t>
      </w:r>
      <w:r w:rsidR="00765155">
        <w:rPr>
          <w:szCs w:val="22"/>
          <w:lang w:val="en-US"/>
        </w:rPr>
        <w:t xml:space="preserve"> </w:t>
      </w:r>
      <w:r w:rsidRPr="00DB6E10">
        <w:rPr>
          <w:szCs w:val="22"/>
          <w:lang w:val="en-US"/>
        </w:rPr>
        <w:t>RAN WG2 Meeting #119-e</w:t>
      </w:r>
    </w:p>
    <w:p w14:paraId="6403E9B3" w14:textId="4B4E9983" w:rsidR="00DB6E10" w:rsidRPr="00DB6E10" w:rsidRDefault="00DB6E10" w:rsidP="00DB6E10">
      <w:pPr>
        <w:spacing w:before="240" w:after="0"/>
        <w:jc w:val="both"/>
        <w:rPr>
          <w:szCs w:val="22"/>
          <w:lang w:val="en-US"/>
        </w:rPr>
      </w:pPr>
      <w:r w:rsidRPr="00DB6E10">
        <w:rPr>
          <w:szCs w:val="22"/>
          <w:lang w:val="en-US"/>
        </w:rPr>
        <w:t>[2] R4-2206945</w:t>
      </w:r>
      <w:r w:rsidRPr="00DB6E10">
        <w:rPr>
          <w:szCs w:val="22"/>
          <w:lang w:val="en-US"/>
        </w:rPr>
        <w:tab/>
        <w:t xml:space="preserve">Further reply LS on condition for PRS measurement outside the MG   </w:t>
      </w:r>
      <w:r>
        <w:rPr>
          <w:szCs w:val="22"/>
          <w:lang w:val="en-US"/>
        </w:rPr>
        <w:t xml:space="preserve">  </w:t>
      </w:r>
      <w:r w:rsidRPr="00DB6E10">
        <w:rPr>
          <w:szCs w:val="22"/>
          <w:lang w:val="en-US"/>
        </w:rPr>
        <w:t>RAN WG4 Meeting#103-e</w:t>
      </w:r>
    </w:p>
    <w:p w14:paraId="27DFCD75" w14:textId="6A0FB434" w:rsidR="00CE5D0B" w:rsidRPr="00DB6E10" w:rsidRDefault="00CE5D0B" w:rsidP="00DB6E10">
      <w:pPr>
        <w:spacing w:before="240" w:after="0"/>
        <w:jc w:val="both"/>
        <w:rPr>
          <w:szCs w:val="22"/>
        </w:rPr>
      </w:pPr>
    </w:p>
    <w:p w14:paraId="4C5DE04D" w14:textId="7F1C9814" w:rsidR="00510913" w:rsidRPr="0064384A" w:rsidRDefault="00510913">
      <w:pPr>
        <w:pStyle w:val="a3"/>
        <w:keepNext/>
        <w:keepLines/>
        <w:numPr>
          <w:ilvl w:val="0"/>
          <w:numId w:val="24"/>
        </w:numPr>
        <w:pBdr>
          <w:top w:val="single" w:sz="12" w:space="3" w:color="auto"/>
        </w:pBdr>
        <w:spacing w:before="360" w:after="0"/>
        <w:ind w:left="357" w:hanging="357"/>
        <w:outlineLvl w:val="0"/>
        <w:rPr>
          <w:sz w:val="36"/>
          <w:szCs w:val="36"/>
        </w:rPr>
      </w:pPr>
      <w:r>
        <w:rPr>
          <w:sz w:val="36"/>
        </w:rPr>
        <w:t>Appendix</w:t>
      </w:r>
      <w:r w:rsidR="006D0D1F">
        <w:rPr>
          <w:sz w:val="36"/>
        </w:rPr>
        <w:t>: Draft reply LS</w:t>
      </w:r>
    </w:p>
    <w:p w14:paraId="68232520" w14:textId="27543E37" w:rsidR="00510913" w:rsidRDefault="00510913" w:rsidP="00510913">
      <w:pPr>
        <w:spacing w:before="240" w:after="0"/>
        <w:rPr>
          <w:szCs w:val="22"/>
        </w:rPr>
      </w:pPr>
    </w:p>
    <w:p w14:paraId="6733F51B" w14:textId="192E4A0A"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r w:rsidRPr="00096E86">
        <w:rPr>
          <w:rFonts w:ascii="Arial" w:hAnsi="Arial" w:cs="Arial"/>
          <w:b/>
          <w:sz w:val="24"/>
          <w:szCs w:val="28"/>
          <w:lang w:val="en-US"/>
        </w:rPr>
        <w:t>R4-22</w:t>
      </w:r>
      <w:r>
        <w:rPr>
          <w:rFonts w:ascii="Arial" w:hAnsi="Arial" w:cs="Arial" w:hint="eastAsia"/>
          <w:b/>
          <w:sz w:val="24"/>
          <w:szCs w:val="28"/>
          <w:lang w:val="en-US"/>
        </w:rPr>
        <w:t>x</w:t>
      </w:r>
    </w:p>
    <w:p w14:paraId="4F4EFA21" w14:textId="77777777" w:rsidR="003425CD" w:rsidRPr="001D2FBF" w:rsidRDefault="003425CD" w:rsidP="003425CD">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p w14:paraId="3E0CAC00" w14:textId="77777777" w:rsidR="00510913" w:rsidRPr="003425CD" w:rsidRDefault="00510913" w:rsidP="006D0D1F">
      <w:pPr>
        <w:pStyle w:val="aff1"/>
        <w:tabs>
          <w:tab w:val="right" w:pos="7088"/>
          <w:tab w:val="right" w:pos="9781"/>
        </w:tabs>
        <w:rPr>
          <w:b w:val="0"/>
          <w:bCs/>
          <w:sz w:val="22"/>
          <w:lang w:val="en-US"/>
        </w:rPr>
      </w:pPr>
    </w:p>
    <w:p w14:paraId="072F5F5C" w14:textId="407B3914"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DB6E10" w:rsidRPr="00DB6E10">
        <w:rPr>
          <w:rFonts w:ascii="Arial" w:hAnsi="Arial" w:cs="Arial"/>
          <w:b/>
        </w:rPr>
        <w:t>Reply LS on UE capability for PRS measurement without MG</w:t>
      </w:r>
    </w:p>
    <w:p w14:paraId="3F69FA5A" w14:textId="2CCBF942" w:rsidR="00510913" w:rsidRDefault="00510913" w:rsidP="00510913">
      <w:pPr>
        <w:spacing w:after="60"/>
        <w:ind w:left="1985" w:hanging="1985"/>
      </w:pPr>
      <w:r>
        <w:rPr>
          <w:rFonts w:ascii="Arial" w:hAnsi="Arial" w:cs="Arial"/>
          <w:b/>
        </w:rPr>
        <w:t>Response to:</w:t>
      </w:r>
      <w:r>
        <w:rPr>
          <w:rFonts w:cs="Arial"/>
          <w:bCs/>
        </w:rPr>
        <w:tab/>
      </w:r>
      <w:r>
        <w:rPr>
          <w:rFonts w:ascii="Arial" w:hAnsi="Arial" w:cs="Arial"/>
          <w:bCs/>
        </w:rPr>
        <w:t>R</w:t>
      </w:r>
      <w:r w:rsidR="003425CD">
        <w:rPr>
          <w:rFonts w:ascii="Arial" w:hAnsi="Arial" w:cs="Arial"/>
          <w:bCs/>
        </w:rPr>
        <w:t>2</w:t>
      </w:r>
      <w:r>
        <w:rPr>
          <w:rFonts w:ascii="Arial" w:hAnsi="Arial" w:cs="Arial"/>
          <w:bCs/>
        </w:rPr>
        <w:t>-</w:t>
      </w:r>
      <w:r w:rsidR="00DB6E10" w:rsidRPr="00767CE8">
        <w:rPr>
          <w:rFonts w:ascii="Arial" w:hAnsi="Arial" w:cs="Arial"/>
          <w:bCs/>
        </w:rPr>
        <w:t>220</w:t>
      </w:r>
      <w:r w:rsidR="00765155">
        <w:rPr>
          <w:rFonts w:ascii="Arial" w:hAnsi="Arial" w:cs="Arial"/>
          <w:bCs/>
        </w:rPr>
        <w:t>9241</w:t>
      </w:r>
    </w:p>
    <w:p w14:paraId="5FB635CC" w14:textId="77777777"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Rel-17</w:t>
      </w:r>
    </w:p>
    <w:p w14:paraId="6C3AAA8C" w14:textId="27599115"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r w:rsidR="004C31B9" w:rsidRPr="00060B70">
        <w:rPr>
          <w:rFonts w:ascii="Arial" w:hAnsi="Arial" w:cs="Arial"/>
        </w:rPr>
        <w:t>NR_</w:t>
      </w:r>
      <w:r w:rsidR="003425CD">
        <w:rPr>
          <w:rFonts w:ascii="Arial" w:hAnsi="Arial" w:cs="Arial"/>
        </w:rPr>
        <w:t>pos_enh</w:t>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1352D99" w14:textId="7CA24374"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3425CD">
        <w:rPr>
          <w:rFonts w:ascii="Arial" w:hAnsi="Arial" w:cs="Arial"/>
          <w:bCs/>
        </w:rPr>
        <w:t>2</w:t>
      </w:r>
    </w:p>
    <w:p w14:paraId="00232E10" w14:textId="2298F148"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r w:rsidR="00DE0C8D">
        <w:rPr>
          <w:rFonts w:ascii="Arial" w:hAnsi="Arial" w:cs="Arial"/>
          <w:bCs/>
        </w:rPr>
        <w:t>RAN1</w:t>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697650FF" w14:textId="77777777" w:rsidR="00510913" w:rsidRDefault="00510913" w:rsidP="006D0D1F">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7B0E3F31" w14:textId="77777777" w:rsidR="00510913" w:rsidRDefault="00510913" w:rsidP="006D0D1F">
      <w:pPr>
        <w:rPr>
          <w:rFonts w:ascii="Arial" w:hAnsi="Arial" w:cs="Arial"/>
          <w:b/>
        </w:rPr>
      </w:pPr>
      <w:r>
        <w:rPr>
          <w:rFonts w:ascii="Arial" w:hAnsi="Arial" w:cs="Arial"/>
          <w:b/>
        </w:rPr>
        <w:t>E-mail Address: qian9.yang@vivo.com</w:t>
      </w:r>
    </w:p>
    <w:p w14:paraId="6C9B44F7" w14:textId="77777777" w:rsidR="00510913" w:rsidRDefault="00510913"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lastRenderedPageBreak/>
        <w:t>1. Overall Description:</w:t>
      </w:r>
    </w:p>
    <w:p w14:paraId="06DD034B" w14:textId="77777777" w:rsidR="00DB6E10" w:rsidRPr="005E50CE" w:rsidRDefault="00DB6E10" w:rsidP="00DB6E10">
      <w:pPr>
        <w:spacing w:after="120"/>
        <w:jc w:val="both"/>
        <w:rPr>
          <w:rFonts w:ascii="Arial" w:hAnsi="Arial" w:cs="Arial"/>
        </w:rPr>
      </w:pPr>
      <w:r w:rsidRPr="005E50CE">
        <w:rPr>
          <w:rFonts w:ascii="Arial" w:hAnsi="Arial" w:cs="Arial"/>
        </w:rPr>
        <w:t>RAN4 thanks RAN2 for the LS on capability for PRS measurement without MG.</w:t>
      </w:r>
    </w:p>
    <w:p w14:paraId="67D402ED" w14:textId="68E90184" w:rsidR="00DB6E10" w:rsidRDefault="00DB6E10" w:rsidP="00DB6E10">
      <w:pPr>
        <w:spacing w:after="120"/>
        <w:jc w:val="both"/>
        <w:rPr>
          <w:rFonts w:ascii="Arial" w:hAnsi="Arial" w:cs="Arial"/>
        </w:rPr>
      </w:pPr>
      <w:r w:rsidRPr="005E50CE">
        <w:rPr>
          <w:rFonts w:ascii="Arial" w:hAnsi="Arial" w:cs="Arial"/>
        </w:rPr>
        <w:t xml:space="preserve">For the </w:t>
      </w:r>
      <w:r w:rsidR="001945B5">
        <w:rPr>
          <w:rFonts w:ascii="Arial" w:hAnsi="Arial" w:cs="Arial"/>
        </w:rPr>
        <w:t xml:space="preserve">question asked </w:t>
      </w:r>
      <w:r w:rsidRPr="005E50CE">
        <w:rPr>
          <w:rFonts w:ascii="Arial" w:hAnsi="Arial" w:cs="Arial"/>
        </w:rPr>
        <w:t>by RAN2, RAN4 would like to provide the following response.</w:t>
      </w:r>
    </w:p>
    <w:p w14:paraId="4DEC1AE4" w14:textId="3539885A" w:rsidR="001945B5" w:rsidRPr="001945B5" w:rsidRDefault="001945B5" w:rsidP="001945B5">
      <w:pPr>
        <w:pStyle w:val="a3"/>
        <w:numPr>
          <w:ilvl w:val="0"/>
          <w:numId w:val="37"/>
        </w:numPr>
        <w:jc w:val="both"/>
        <w:rPr>
          <w:rFonts w:ascii="Arial" w:hAnsi="Arial" w:cs="Arial"/>
        </w:rPr>
      </w:pPr>
      <w:r w:rsidRPr="001945B5">
        <w:rPr>
          <w:rFonts w:ascii="Arial" w:hAnsi="Arial" w:cs="Arial"/>
        </w:rPr>
        <w:t>LMF needs to know the UE capability on feature 14-3 and the feature should be captured in LPP specification.</w:t>
      </w:r>
    </w:p>
    <w:p w14:paraId="33C7FB67" w14:textId="77777777" w:rsidR="00510913" w:rsidRPr="00DB6E10" w:rsidRDefault="00510913" w:rsidP="00510913">
      <w:pPr>
        <w:spacing w:after="120"/>
        <w:jc w:val="both"/>
        <w:rPr>
          <w:rFonts w:ascii="Arial" w:hAnsi="Arial" w:cs="Arial"/>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77777777"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p>
    <w:p w14:paraId="29042E0A" w14:textId="57ADCC4A" w:rsidR="00510913" w:rsidRPr="001D01FF"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DB6E10">
        <w:rPr>
          <w:rFonts w:ascii="Arial" w:hAnsi="Arial" w:cs="Arial"/>
        </w:rPr>
        <w:t>2</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4CBEE79E" w14:textId="77777777" w:rsidR="00510913" w:rsidRDefault="00510913" w:rsidP="00510913">
      <w:pPr>
        <w:rPr>
          <w:rFonts w:ascii="Arial" w:hAnsi="Arial" w:cs="Arial"/>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1B2D1CA1" w14:textId="70485741" w:rsidR="00DB6E10" w:rsidRPr="00DB6E10" w:rsidRDefault="00DB6E10" w:rsidP="00DB6E10">
      <w:pPr>
        <w:spacing w:before="240" w:after="0"/>
        <w:rPr>
          <w:rFonts w:ascii="Arial" w:hAnsi="Arial" w:cs="Arial"/>
        </w:rPr>
      </w:pPr>
      <w:r w:rsidRPr="00DB6E10">
        <w:rPr>
          <w:rFonts w:ascii="Arial" w:hAnsi="Arial" w:cs="Arial"/>
        </w:rPr>
        <w:t>TSG-RAN4 Meeting #106</w:t>
      </w:r>
      <w:r w:rsidRPr="00DB6E10">
        <w:rPr>
          <w:rFonts w:ascii="Arial" w:hAnsi="Arial" w:cs="Arial"/>
        </w:rPr>
        <w:tab/>
        <w:t>Feb. 27 – Mar. 03</w:t>
      </w:r>
      <w:r w:rsidR="001945B5">
        <w:rPr>
          <w:rFonts w:ascii="Arial" w:hAnsi="Arial" w:cs="Arial"/>
        </w:rPr>
        <w:t>, 2023</w:t>
      </w:r>
      <w:r w:rsidRPr="00DB6E10">
        <w:rPr>
          <w:rFonts w:ascii="Arial" w:hAnsi="Arial" w:cs="Arial"/>
        </w:rPr>
        <w:tab/>
        <w:t>Athens</w:t>
      </w:r>
    </w:p>
    <w:p w14:paraId="65E39041" w14:textId="5AD4C5A4" w:rsidR="00510913" w:rsidRPr="00DB6E10" w:rsidRDefault="00DB6E10" w:rsidP="00DB6E10">
      <w:pPr>
        <w:spacing w:before="240" w:after="0"/>
        <w:rPr>
          <w:szCs w:val="22"/>
        </w:rPr>
      </w:pPr>
      <w:r w:rsidRPr="00DB6E10">
        <w:rPr>
          <w:rFonts w:ascii="Arial" w:hAnsi="Arial" w:cs="Arial"/>
        </w:rPr>
        <w:t>TSG-RAN4 Meeting #106-bis-e</w:t>
      </w:r>
      <w:r w:rsidRPr="00DB6E10">
        <w:rPr>
          <w:rFonts w:ascii="Arial" w:hAnsi="Arial" w:cs="Arial"/>
        </w:rPr>
        <w:tab/>
        <w:t>Apr. 17 – Apr. 26</w:t>
      </w:r>
      <w:r w:rsidR="001945B5">
        <w:rPr>
          <w:rFonts w:ascii="Arial" w:hAnsi="Arial" w:cs="Arial"/>
        </w:rPr>
        <w:t>, 2023</w:t>
      </w:r>
      <w:r w:rsidRPr="00DB6E10">
        <w:rPr>
          <w:rFonts w:ascii="Arial" w:hAnsi="Arial" w:cs="Arial"/>
        </w:rPr>
        <w:tab/>
        <w:t>Online</w:t>
      </w:r>
    </w:p>
    <w:sectPr w:rsidR="00510913" w:rsidRPr="00DB6E10">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DFC98" w14:textId="77777777" w:rsidR="007152FE" w:rsidRDefault="007152FE">
      <w:pPr>
        <w:spacing w:after="0"/>
      </w:pPr>
      <w:r>
        <w:separator/>
      </w:r>
    </w:p>
  </w:endnote>
  <w:endnote w:type="continuationSeparator" w:id="0">
    <w:p w14:paraId="4EEFD3C4" w14:textId="77777777" w:rsidR="007152FE" w:rsidRDefault="007152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95A9C" w14:textId="77777777" w:rsidR="007152FE" w:rsidRDefault="007152FE">
      <w:pPr>
        <w:spacing w:after="0"/>
      </w:pPr>
      <w:r>
        <w:separator/>
      </w:r>
    </w:p>
  </w:footnote>
  <w:footnote w:type="continuationSeparator" w:id="0">
    <w:p w14:paraId="1D8225D7" w14:textId="77777777" w:rsidR="007152FE" w:rsidRDefault="007152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5B5379"/>
    <w:multiLevelType w:val="hybridMultilevel"/>
    <w:tmpl w:val="139822AE"/>
    <w:lvl w:ilvl="0" w:tplc="CBF27AB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738B0"/>
    <w:multiLevelType w:val="hybridMultilevel"/>
    <w:tmpl w:val="C9BCD9D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940FFE"/>
    <w:multiLevelType w:val="hybridMultilevel"/>
    <w:tmpl w:val="79F04F9A"/>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995962569">
    <w:abstractNumId w:val="0"/>
  </w:num>
  <w:num w:numId="2" w16cid:durableId="1151872954">
    <w:abstractNumId w:val="1"/>
  </w:num>
  <w:num w:numId="3" w16cid:durableId="1904022114">
    <w:abstractNumId w:val="2"/>
  </w:num>
  <w:num w:numId="4" w16cid:durableId="307363981">
    <w:abstractNumId w:val="3"/>
  </w:num>
  <w:num w:numId="5" w16cid:durableId="489905173">
    <w:abstractNumId w:val="4"/>
  </w:num>
  <w:num w:numId="6" w16cid:durableId="446778767">
    <w:abstractNumId w:val="5"/>
  </w:num>
  <w:num w:numId="7" w16cid:durableId="360791469">
    <w:abstractNumId w:val="6"/>
  </w:num>
  <w:num w:numId="8" w16cid:durableId="1022244492">
    <w:abstractNumId w:val="7"/>
  </w:num>
  <w:num w:numId="9" w16cid:durableId="181210272">
    <w:abstractNumId w:val="8"/>
  </w:num>
  <w:num w:numId="10" w16cid:durableId="617957715">
    <w:abstractNumId w:val="9"/>
  </w:num>
  <w:num w:numId="11" w16cid:durableId="1496267489">
    <w:abstractNumId w:val="10"/>
  </w:num>
  <w:num w:numId="12" w16cid:durableId="1263300837">
    <w:abstractNumId w:val="11"/>
  </w:num>
  <w:num w:numId="13" w16cid:durableId="1482035517">
    <w:abstractNumId w:val="12"/>
  </w:num>
  <w:num w:numId="14" w16cid:durableId="694503788">
    <w:abstractNumId w:val="13"/>
  </w:num>
  <w:num w:numId="15" w16cid:durableId="1054354982">
    <w:abstractNumId w:val="14"/>
  </w:num>
  <w:num w:numId="16" w16cid:durableId="1613244931">
    <w:abstractNumId w:val="15"/>
  </w:num>
  <w:num w:numId="17" w16cid:durableId="2035616759">
    <w:abstractNumId w:val="16"/>
  </w:num>
  <w:num w:numId="18" w16cid:durableId="1709841988">
    <w:abstractNumId w:val="17"/>
  </w:num>
  <w:num w:numId="19" w16cid:durableId="995646719">
    <w:abstractNumId w:val="18"/>
  </w:num>
  <w:num w:numId="20" w16cid:durableId="1611816918">
    <w:abstractNumId w:val="26"/>
  </w:num>
  <w:num w:numId="21" w16cid:durableId="1745756947">
    <w:abstractNumId w:val="32"/>
  </w:num>
  <w:num w:numId="22" w16cid:durableId="575630943">
    <w:abstractNumId w:val="28"/>
  </w:num>
  <w:num w:numId="23" w16cid:durableId="544021211">
    <w:abstractNumId w:val="24"/>
  </w:num>
  <w:num w:numId="24" w16cid:durableId="922026424">
    <w:abstractNumId w:val="37"/>
  </w:num>
  <w:num w:numId="25" w16cid:durableId="1314528931">
    <w:abstractNumId w:val="21"/>
  </w:num>
  <w:num w:numId="26" w16cid:durableId="624849011">
    <w:abstractNumId w:val="27"/>
  </w:num>
  <w:num w:numId="27" w16cid:durableId="301545259">
    <w:abstractNumId w:val="23"/>
  </w:num>
  <w:num w:numId="28" w16cid:durableId="697005904">
    <w:abstractNumId w:val="22"/>
  </w:num>
  <w:num w:numId="29" w16cid:durableId="970330208">
    <w:abstractNumId w:val="36"/>
  </w:num>
  <w:num w:numId="30" w16cid:durableId="1072240416">
    <w:abstractNumId w:val="34"/>
  </w:num>
  <w:num w:numId="31" w16cid:durableId="1151211001">
    <w:abstractNumId w:val="35"/>
  </w:num>
  <w:num w:numId="32" w16cid:durableId="559050440">
    <w:abstractNumId w:val="30"/>
  </w:num>
  <w:num w:numId="33" w16cid:durableId="1138258877">
    <w:abstractNumId w:val="26"/>
  </w:num>
  <w:num w:numId="34" w16cid:durableId="1951741200">
    <w:abstractNumId w:val="29"/>
  </w:num>
  <w:num w:numId="35" w16cid:durableId="1095174371">
    <w:abstractNumId w:val="25"/>
  </w:num>
  <w:num w:numId="36" w16cid:durableId="685525206">
    <w:abstractNumId w:val="31"/>
  </w:num>
  <w:num w:numId="37" w16cid:durableId="1208031052">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640"/>
    <w:rsid w:val="00071E1B"/>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2A0"/>
    <w:rsid w:val="000B7375"/>
    <w:rsid w:val="000B7BB4"/>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5B5"/>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30AB5"/>
    <w:rsid w:val="00333D6E"/>
    <w:rsid w:val="003377C7"/>
    <w:rsid w:val="00340154"/>
    <w:rsid w:val="00341965"/>
    <w:rsid w:val="003425CD"/>
    <w:rsid w:val="00343684"/>
    <w:rsid w:val="00344F9B"/>
    <w:rsid w:val="003469F4"/>
    <w:rsid w:val="00346ABD"/>
    <w:rsid w:val="00350EEC"/>
    <w:rsid w:val="00357D38"/>
    <w:rsid w:val="00360000"/>
    <w:rsid w:val="0036061D"/>
    <w:rsid w:val="003612FD"/>
    <w:rsid w:val="003622A5"/>
    <w:rsid w:val="00364D1A"/>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68FB"/>
    <w:rsid w:val="003A722C"/>
    <w:rsid w:val="003B02CB"/>
    <w:rsid w:val="003B03A7"/>
    <w:rsid w:val="003B134C"/>
    <w:rsid w:val="003B1DC2"/>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44CB"/>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944"/>
    <w:rsid w:val="00434764"/>
    <w:rsid w:val="00434F11"/>
    <w:rsid w:val="004352B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8E4"/>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654D"/>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50CE"/>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7FB"/>
    <w:rsid w:val="00705358"/>
    <w:rsid w:val="0070563B"/>
    <w:rsid w:val="00705B61"/>
    <w:rsid w:val="00706F85"/>
    <w:rsid w:val="00710330"/>
    <w:rsid w:val="00710A5F"/>
    <w:rsid w:val="0071202E"/>
    <w:rsid w:val="007128BD"/>
    <w:rsid w:val="00712C7E"/>
    <w:rsid w:val="007135D7"/>
    <w:rsid w:val="007152FE"/>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155"/>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09FF"/>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03D"/>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0A5"/>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1C"/>
    <w:rsid w:val="009915DB"/>
    <w:rsid w:val="00992942"/>
    <w:rsid w:val="009931E2"/>
    <w:rsid w:val="0099382E"/>
    <w:rsid w:val="00993B72"/>
    <w:rsid w:val="00993F70"/>
    <w:rsid w:val="00995259"/>
    <w:rsid w:val="00997E43"/>
    <w:rsid w:val="009A062A"/>
    <w:rsid w:val="009A1782"/>
    <w:rsid w:val="009A1F89"/>
    <w:rsid w:val="009A20AF"/>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B7"/>
    <w:rsid w:val="009C48AE"/>
    <w:rsid w:val="009C5285"/>
    <w:rsid w:val="009C75E8"/>
    <w:rsid w:val="009D5A48"/>
    <w:rsid w:val="009D623D"/>
    <w:rsid w:val="009D6F7B"/>
    <w:rsid w:val="009E19C0"/>
    <w:rsid w:val="009E3FE7"/>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8A9"/>
    <w:rsid w:val="00B6390E"/>
    <w:rsid w:val="00B6425C"/>
    <w:rsid w:val="00B64E39"/>
    <w:rsid w:val="00B650D7"/>
    <w:rsid w:val="00B6557A"/>
    <w:rsid w:val="00B65875"/>
    <w:rsid w:val="00B65934"/>
    <w:rsid w:val="00B717F5"/>
    <w:rsid w:val="00B72E78"/>
    <w:rsid w:val="00B73D60"/>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675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2F1"/>
    <w:rsid w:val="00CC24A8"/>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90661"/>
    <w:rsid w:val="00D917D6"/>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6E10"/>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0C8D"/>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5C6D"/>
    <w:rsid w:val="00EB6B9B"/>
    <w:rsid w:val="00EB707B"/>
    <w:rsid w:val="00EB7464"/>
    <w:rsid w:val="00EB76F8"/>
    <w:rsid w:val="00EC087F"/>
    <w:rsid w:val="00EC1AFF"/>
    <w:rsid w:val="00EC1F2F"/>
    <w:rsid w:val="00EC1F81"/>
    <w:rsid w:val="00EC3036"/>
    <w:rsid w:val="00EC3F5D"/>
    <w:rsid w:val="00EC41D8"/>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55517"/>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2168A4"/>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7FC7C-2B7A-4872-ABDD-26AFD3D2C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TotalTime>
  <Pages>3</Pages>
  <Words>732</Words>
  <Characters>4179</Characters>
  <Application>Microsoft Office Word</Application>
  <DocSecurity>0</DocSecurity>
  <Lines>34</Lines>
  <Paragraphs>9</Paragraphs>
  <ScaleCrop>false</ScaleCrop>
  <Company>Tom</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vivo-105</cp:lastModifiedBy>
  <cp:revision>10</cp:revision>
  <cp:lastPrinted>1995-11-21T09:41:00Z</cp:lastPrinted>
  <dcterms:created xsi:type="dcterms:W3CDTF">2022-11-07T12:01:00Z</dcterms:created>
  <dcterms:modified xsi:type="dcterms:W3CDTF">2022-11-07T13:39:00Z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